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90553A" w:rsidRDefault="0090553A" w:rsidP="00773FD9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90553A">
              <w:rPr>
                <w:rFonts w:ascii="Arial" w:hAnsi="Arial"/>
                <w:b/>
                <w:color w:val="auto"/>
                <w:sz w:val="22"/>
                <w:szCs w:val="22"/>
              </w:rPr>
              <w:t>Strategie rozvoje Pardubického kraje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5D7DE3" w:rsidRPr="005D7DE3">
      <w:rPr>
        <w:rFonts w:ascii="Arial" w:hAnsi="Arial" w:cs="Arial"/>
        <w:sz w:val="22"/>
        <w:szCs w:val="22"/>
      </w:rPr>
      <w:t>6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900BB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53A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0"/>
  <w15:docId w15:val="{CEF01395-94C8-4C9D-9A34-400E4380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107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Smejkal Miroslav Mgr.</cp:lastModifiedBy>
  <cp:revision>3</cp:revision>
  <cp:lastPrinted>2008-06-11T14:40:00Z</cp:lastPrinted>
  <dcterms:created xsi:type="dcterms:W3CDTF">2019-08-19T07:40:00Z</dcterms:created>
  <dcterms:modified xsi:type="dcterms:W3CDTF">2019-08-19T07:40:00Z</dcterms:modified>
</cp:coreProperties>
</file>